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AVISO DE REVOGAÇÃO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ind w:left="72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6"/>
          <w:szCs w:val="16"/>
          <w:rtl w:val="0"/>
        </w:rPr>
        <w:t xml:space="preserve">CHAMAMENTO PÚBLICO CEASA/SC 2021.01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A diretoria das Centrais de Abastecimento do Estado de Santa Catarina S.A. – CEASA/SC, no uso de suas atribuições torna público que fica alterada a data do chamamento público para processo de seleção para o projeto Living LAB Agroinovação SC, unidade de São José, minuta contratual e demais  especificações e documentos anexos ao Edital permanecem inalterados.Cadastro dos interessados na etapa “Inscrição” 13/04/2021 a 31/05/2021. Resposta aos homologados na etapa “Homologação” 02/06/2021. Divulgação dos candidatos aprovados na etapa "Seleção" 09/06/2021. Entrevistas com os aprovados na etapa “Seleção”</w:t>
        <w:tab/>
        <w:t xml:space="preserve">11/06/2021. Divulgação dos candidatos aprovados na etapa “Entrevista” 15/06/2021. Realização do planejamento com candidatos aprovados na etapa “Entrevista” 17/06/2021. Resposta aos aprovados na etapa “Planejamento” 22/06/2021. Período para assinatura do termo de compromisso 23/06/2021 a 28/06/2021. Divulgação dos labers 29/06/2021. Início da operação do Living Lab Agroinovação SC 30/06/2021. O Edital e inscrição poderá ser adquirido pelos interessados pelo site </w:t>
      </w:r>
      <w:hyperlink r:id="rId7">
        <w:r w:rsidDel="00000000" w:rsidR="00000000" w:rsidRPr="00000000">
          <w:rPr>
            <w:rFonts w:ascii="Arial" w:cs="Arial" w:eastAsia="Arial" w:hAnsi="Arial"/>
            <w:color w:val="0000ff"/>
            <w:sz w:val="16"/>
            <w:szCs w:val="16"/>
            <w:u w:val="single"/>
            <w:rtl w:val="0"/>
          </w:rPr>
          <w:t xml:space="preserve">www.ceasa.sc.gov.br</w:t>
        </w:r>
      </w:hyperlink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. Maiores informações pelo telefone (48) 3378-1700.</w:t>
      </w:r>
    </w:p>
    <w:p w:rsidR="00000000" w:rsidDel="00000000" w:rsidP="00000000" w:rsidRDefault="00000000" w:rsidRPr="00000000" w14:paraId="00000005">
      <w:pPr>
        <w:jc w:val="both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sz w:val="16"/>
          <w:szCs w:val="16"/>
          <w:vertAlign w:val="baseline"/>
        </w:rPr>
      </w:pPr>
      <w:r w:rsidDel="00000000" w:rsidR="00000000" w:rsidRPr="00000000">
        <w:rPr>
          <w:rFonts w:ascii="Arial" w:cs="Arial" w:eastAsia="Arial" w:hAnsi="Arial"/>
          <w:sz w:val="16"/>
          <w:szCs w:val="16"/>
          <w:vertAlign w:val="baseline"/>
          <w:rtl w:val="0"/>
        </w:rPr>
        <w:t xml:space="preserve">São José, </w:t>
      </w: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29 de abril</w:t>
      </w:r>
      <w:r w:rsidDel="00000000" w:rsidR="00000000" w:rsidRPr="00000000">
        <w:rPr>
          <w:rFonts w:ascii="Arial" w:cs="Arial" w:eastAsia="Arial" w:hAnsi="Arial"/>
          <w:sz w:val="16"/>
          <w:szCs w:val="16"/>
          <w:vertAlign w:val="baseline"/>
          <w:rtl w:val="0"/>
        </w:rPr>
        <w:t xml:space="preserve"> de 202</w:t>
      </w: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sz w:val="16"/>
          <w:szCs w:val="16"/>
          <w:vertAlign w:val="baseline"/>
          <w:rtl w:val="0"/>
        </w:rPr>
        <w:t xml:space="preserve">.</w:t>
        <w:br w:type="textWrapping"/>
        <w:t xml:space="preserve">Comissão Permanente de Licitação – CEASA/SC</w:t>
      </w:r>
    </w:p>
    <w:sectPr>
      <w:headerReference r:id="rId8" w:type="default"/>
      <w:pgSz w:h="6917" w:w="6350" w:orient="portrait"/>
      <w:pgMar w:bottom="426" w:top="1702" w:left="426" w:right="538" w:header="567" w:footer="56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330200</wp:posOffset>
              </wp:positionH>
              <wp:positionV relativeFrom="paragraph">
                <wp:posOffset>25400</wp:posOffset>
              </wp:positionV>
              <wp:extent cx="2752725" cy="69532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3850575" y="3078008"/>
                        <a:ext cx="2990850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</w:p>
                      </w:txbxContent>
                    </wps:txbx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330200</wp:posOffset>
              </wp:positionH>
              <wp:positionV relativeFrom="paragraph">
                <wp:posOffset>25400</wp:posOffset>
              </wp:positionV>
              <wp:extent cx="2752725" cy="695325"/>
              <wp:effectExtent b="0" l="0" r="0" t="0"/>
              <wp:wrapNone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52725" cy="695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34925</wp:posOffset>
          </wp:positionV>
          <wp:extent cx="457200" cy="457200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57200" cy="45720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paragraph" w:styleId="Título8">
    <w:name w:val="Título 8"/>
    <w:basedOn w:val="Normal"/>
    <w:next w:val="Normal"/>
    <w:autoRedefine w:val="0"/>
    <w:hidden w:val="0"/>
    <w:qFormat w:val="0"/>
    <w:pPr>
      <w:keepNext w:val="1"/>
      <w:suppressAutoHyphens w:val="1"/>
      <w:spacing w:after="0" w:line="240" w:lineRule="auto"/>
      <w:ind w:leftChars="-1" w:rightChars="0" w:firstLineChars="-1"/>
      <w:jc w:val="center"/>
      <w:textDirection w:val="btLr"/>
      <w:textAlignment w:val="top"/>
      <w:outlineLvl w:val="7"/>
    </w:pPr>
    <w:rPr>
      <w:rFonts w:ascii="Times New Roman" w:eastAsia="Times New Roman" w:hAnsi="Times New Roman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Textodebalão">
    <w:name w:val="Texto de balão"/>
    <w:basedOn w:val="Normal"/>
    <w:next w:val="Textodebalão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und" w:val="und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und" w:val="und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character" w:styleId="Ref.denotaderodapé">
    <w:name w:val="Ref. de nota de rodapé"/>
    <w:next w:val="Ref.denotaderodapé"/>
    <w:autoRedefine w:val="0"/>
    <w:hidden w:val="0"/>
    <w:qFormat w:val="1"/>
    <w:rPr>
      <w:w w:val="100"/>
      <w:position w:val="-1"/>
      <w:effect w:val="none"/>
      <w:vertAlign w:val="superscript"/>
      <w:cs w:val="0"/>
      <w:em w:val="none"/>
      <w:lang/>
    </w:rPr>
  </w:style>
  <w:style w:type="paragraph" w:styleId="Cabeçalho">
    <w:name w:val="Cabeçalho"/>
    <w:basedOn w:val="Normal"/>
    <w:next w:val="Cabeçalho"/>
    <w:autoRedefine w:val="0"/>
    <w:hidden w:val="0"/>
    <w:qFormat w:val="1"/>
    <w:pPr>
      <w:tabs>
        <w:tab w:val="center" w:leader="none" w:pos="4252"/>
        <w:tab w:val="right" w:leader="none" w:pos="8504"/>
      </w:tabs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character" w:styleId="CabeçalhoChar">
    <w:name w:val="Cabeçalho Char"/>
    <w:basedOn w:val="Fonteparág.padrão"/>
    <w:next w:val="Cabeçalho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Rodapé">
    <w:name w:val="Rodapé"/>
    <w:basedOn w:val="Normal"/>
    <w:next w:val="Rodapé"/>
    <w:autoRedefine w:val="0"/>
    <w:hidden w:val="0"/>
    <w:qFormat w:val="1"/>
    <w:pPr>
      <w:tabs>
        <w:tab w:val="center" w:leader="none" w:pos="4252"/>
        <w:tab w:val="right" w:leader="none" w:pos="8504"/>
      </w:tabs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character" w:styleId="RodapéChar">
    <w:name w:val="Rodapé Char"/>
    <w:basedOn w:val="Fonteparág.padrão"/>
    <w:next w:val="Rodapé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[BasicParagraph]">
    <w:name w:val="[Basic Paragraph]"/>
    <w:basedOn w:val="Normal"/>
    <w:next w:val="[BasicParagraph]"/>
    <w:autoRedefine w:val="0"/>
    <w:hidden w:val="0"/>
    <w:qFormat w:val="0"/>
    <w:pPr>
      <w:suppressAutoHyphens w:val="1"/>
      <w:autoSpaceDE w:val="0"/>
      <w:autoSpaceDN w:val="0"/>
      <w:adjustRightInd w:val="0"/>
      <w:spacing w:after="0" w:line="288" w:lineRule="auto"/>
      <w:ind w:leftChars="-1" w:rightChars="0" w:firstLineChars="-1"/>
      <w:textDirection w:val="btLr"/>
      <w:textAlignment w:val="center"/>
      <w:outlineLvl w:val="0"/>
    </w:pPr>
    <w:rPr>
      <w:rFonts w:ascii="Minion Pro" w:cs="Minion Pro" w:hAnsi="Minion Pro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n-US"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imes New Roman" w:eastAsia="Times New Roman" w:hAnsi="Times New Roman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MençãoPendente">
    <w:name w:val="Menção Pendente"/>
    <w:next w:val="MençãoPendente"/>
    <w:autoRedefine w:val="0"/>
    <w:hidden w:val="0"/>
    <w:qFormat w:val="1"/>
    <w:rPr>
      <w:color w:val="605e5c"/>
      <w:w w:val="100"/>
      <w:position w:val="-1"/>
      <w:effect w:val="none"/>
      <w:shd w:color="auto" w:fill="e1dfdd" w:val="clear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://www.ceasa.sc.gov.br" TargetMode="Externa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/AcXqKChKSurjByNtydtIA4puOQ==">AMUW2mW+1MAKsrEMhVcPqxsVb++8E6/c10196So567Mv+h526v8mZaV1n/jMqlVGzvMWr5iGTQgzif+6p8fH/AAfaRls6hv6mNNnsiE5Xzj7MeTunvfLnf0=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2020-08-21T16:16:00Z</dcterms:created>
  <dc:creator>Rogerio W7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